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A2F" w:rsidRDefault="00E6160B">
      <w:bookmarkStart w:id="0" w:name="_GoBack"/>
      <w:bookmarkEnd w:id="0"/>
      <w:r w:rsidRPr="00E6160B">
        <w:rPr>
          <w:noProof/>
        </w:rPr>
        <w:drawing>
          <wp:inline distT="0" distB="0" distL="0" distR="0">
            <wp:extent cx="6489823" cy="5266063"/>
            <wp:effectExtent l="19050" t="0" r="25277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621A2F" w:rsidSect="00E6160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0B"/>
    <w:rsid w:val="00150333"/>
    <w:rsid w:val="00276874"/>
    <w:rsid w:val="00296EF4"/>
    <w:rsid w:val="003069A5"/>
    <w:rsid w:val="00362C06"/>
    <w:rsid w:val="004939B8"/>
    <w:rsid w:val="00497358"/>
    <w:rsid w:val="005A423D"/>
    <w:rsid w:val="00621A2F"/>
    <w:rsid w:val="007819AD"/>
    <w:rsid w:val="009A1FC4"/>
    <w:rsid w:val="00A33E09"/>
    <w:rsid w:val="00AD6B94"/>
    <w:rsid w:val="00E6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6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60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6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60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3;&#1102;&#1076;&#1078;&#1077;&#1090;%202018\&#1044;&#1110;&#1072;&#1075;&#1088;&#1072;&#1084;&#1072;%20&#1089;&#1090;&#1088;&#1091;&#1082;&#1090;&#1091;&#1088;&#1072;%20&#1076;&#1086;&#1093;&#1086;&#1076;&#1110;&#1074;%2020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i="1">
                <a:latin typeface="+mj-lt"/>
              </a:defRPr>
            </a:pPr>
            <a:r>
              <a:rPr lang="ru-RU" sz="1600" i="1">
                <a:latin typeface="+mj-lt"/>
              </a:rPr>
              <a:t> Структура доходів спеціального фонду бюджету</a:t>
            </a:r>
            <a:r>
              <a:rPr lang="ru-RU" sz="1600" i="1" baseline="0">
                <a:latin typeface="+mj-lt"/>
              </a:rPr>
              <a:t> м.Вараш на 2019 рік</a:t>
            </a:r>
            <a:endParaRPr lang="ru-RU" sz="1600" i="1">
              <a:latin typeface="+mj-lt"/>
            </a:endParaRPr>
          </a:p>
        </c:rich>
      </c:tx>
      <c:layout>
        <c:manualLayout>
          <c:xMode val="edge"/>
          <c:yMode val="edge"/>
          <c:x val="0.12230133240921982"/>
          <c:y val="2.2739378545224401E-2"/>
        </c:manualLayout>
      </c:layout>
      <c:overlay val="0"/>
    </c:title>
    <c:autoTitleDeleted val="0"/>
    <c:view3D>
      <c:rotX val="3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3925548126345742E-3"/>
          <c:y val="6.5444551765030404E-2"/>
          <c:w val="0.95104343025963212"/>
          <c:h val="0.9006756572901764"/>
        </c:manualLayout>
      </c:layout>
      <c:pie3DChart>
        <c:varyColors val="1"/>
        <c:ser>
          <c:idx val="0"/>
          <c:order val="0"/>
          <c:explosion val="23"/>
          <c:dPt>
            <c:idx val="1"/>
            <c:bubble3D val="0"/>
            <c:spPr>
              <a:solidFill>
                <a:schemeClr val="accent3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-0.2631788262946464"/>
                  <c:y val="2.8891412806872994E-2"/>
                </c:manualLayout>
              </c:layout>
              <c:tx>
                <c:rich>
                  <a:bodyPr/>
                  <a:lstStyle/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/>
                      <a:t>Екологічний податок; </a:t>
                    </a:r>
                  </a:p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/>
                      <a:t>140,0 тис. грн</a:t>
                    </a:r>
                  </a:p>
                </c:rich>
              </c:tx>
              <c:spPr>
                <a:ln>
                  <a:solidFill>
                    <a:schemeClr val="accent3">
                      <a:lumMod val="50000"/>
                    </a:schemeClr>
                  </a:soli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6402391868006278E-2"/>
                  <c:y val="0.26828125679468706"/>
                </c:manualLayout>
              </c:layout>
              <c:tx>
                <c:rich>
                  <a:bodyPr/>
                  <a:lstStyle/>
                  <a:p>
                    <a:pPr>
                      <a:defRPr sz="1200" i="1">
                        <a:latin typeface="+mj-lt"/>
                      </a:defRPr>
                    </a:pPr>
                    <a:r>
                      <a:rPr lang="ru-RU" sz="1200" i="1"/>
                      <a:t>Власні  надходження бюджетних установ </a:t>
                    </a:r>
                  </a:p>
                  <a:p>
                    <a:pPr>
                      <a:defRPr sz="1200" i="1">
                        <a:latin typeface="+mj-lt"/>
                      </a:defRPr>
                    </a:pPr>
                    <a:r>
                      <a:rPr lang="ru-RU" sz="1200" i="1"/>
                      <a:t> 10 480,9 тис. грн</a:t>
                    </a:r>
                  </a:p>
                </c:rich>
              </c:tx>
              <c:spPr>
                <a:ln>
                  <a:solidFill>
                    <a:srgbClr val="9BBB59">
                      <a:lumMod val="50000"/>
                      <a:alpha val="73000"/>
                    </a:srgbClr>
                  </a:soli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4247941738934939E-2"/>
                  <c:y val="-2.1267121187118258E-2"/>
                </c:manualLayout>
              </c:layout>
              <c:tx>
                <c:rich>
                  <a:bodyPr/>
                  <a:lstStyle/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/>
                      <a:t>Надходження кошт</a:t>
                    </a:r>
                    <a:r>
                      <a:rPr lang="en-US" sz="1000" i="1"/>
                      <a:t>i</a:t>
                    </a:r>
                    <a:r>
                      <a:rPr lang="ru-RU" sz="1000" i="1"/>
                      <a:t>в пайової участ</a:t>
                    </a:r>
                    <a:r>
                      <a:rPr lang="en-US" sz="1000" i="1"/>
                      <a:t>i </a:t>
                    </a:r>
                    <a:r>
                      <a:rPr lang="ru-RU" sz="1000" i="1"/>
                      <a:t>у розвитку </a:t>
                    </a:r>
                    <a:r>
                      <a:rPr lang="en-US" sz="1000" i="1"/>
                      <a:t>i</a:t>
                    </a:r>
                    <a:r>
                      <a:rPr lang="ru-RU" sz="1000" i="1"/>
                      <a:t>нфраструктури населеного пункту; </a:t>
                    </a:r>
                  </a:p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/>
                      <a:t>100,0 тис. грн</a:t>
                    </a:r>
                  </a:p>
                </c:rich>
              </c:tx>
              <c:spPr>
                <a:ln>
                  <a:solidFill>
                    <a:schemeClr val="accent3">
                      <a:lumMod val="50000"/>
                    </a:schemeClr>
                  </a:soli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619678071343394"/>
                  <c:y val="9.6723871324744901E-2"/>
                </c:manualLayout>
              </c:layout>
              <c:tx>
                <c:rich>
                  <a:bodyPr/>
                  <a:lstStyle/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/>
                      <a:t>Кошти в</a:t>
                    </a:r>
                    <a:r>
                      <a:rPr lang="en-US" sz="1000" i="1"/>
                      <a:t>i</a:t>
                    </a:r>
                    <a:r>
                      <a:rPr lang="ru-RU" sz="1000" i="1"/>
                      <a:t>д продажу земл</a:t>
                    </a:r>
                    <a:r>
                      <a:rPr lang="en-US" sz="1000" i="1"/>
                      <a:t>i; 70,0</a:t>
                    </a:r>
                    <a:r>
                      <a:rPr lang="uk-UA" sz="1000" i="1"/>
                      <a:t> тис. грн</a:t>
                    </a:r>
                    <a:endParaRPr lang="en-US" sz="1000" i="1"/>
                  </a:p>
                </c:rich>
              </c:tx>
              <c:spPr>
                <a:ln>
                  <a:solidFill>
                    <a:schemeClr val="accent3">
                      <a:lumMod val="50000"/>
                    </a:schemeClr>
                  </a:soli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solidFill>
                  <a:schemeClr val="accent3">
                    <a:lumMod val="50000"/>
                  </a:schemeClr>
                </a:solidFill>
              </a:ln>
            </c:spPr>
            <c:txPr>
              <a:bodyPr/>
              <a:lstStyle/>
              <a:p>
                <a:pPr>
                  <a:defRPr sz="1100">
                    <a:latin typeface="+mj-lt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>
                  <a:solidFill>
                    <a:schemeClr val="accent3">
                      <a:lumMod val="50000"/>
                    </a:schemeClr>
                  </a:solidFill>
                </a:ln>
              </c:spPr>
            </c:leaderLines>
          </c:dLbls>
          <c:cat>
            <c:strRef>
              <c:f>'спеціальний фонд'!$B$3:$B$6</c:f>
              <c:strCache>
                <c:ptCount val="4"/>
                <c:pt idx="0">
                  <c:v>Екологічний податок</c:v>
                </c:pt>
                <c:pt idx="1">
                  <c:v>Власні надходження бюджетних установ</c:v>
                </c:pt>
                <c:pt idx="2">
                  <c:v>Надходження коштiв пайової участi у розвитку iнфраструктури населеного пункту</c:v>
                </c:pt>
                <c:pt idx="3">
                  <c:v>Кошти вiд продажу землi</c:v>
                </c:pt>
              </c:strCache>
            </c:strRef>
          </c:cat>
          <c:val>
            <c:numRef>
              <c:f>'спеціальний фонд'!$C$3:$C$6</c:f>
              <c:numCache>
                <c:formatCode>#,##0.0</c:formatCode>
                <c:ptCount val="4"/>
                <c:pt idx="0">
                  <c:v>140</c:v>
                </c:pt>
                <c:pt idx="1">
                  <c:v>10480.9</c:v>
                </c:pt>
                <c:pt idx="2">
                  <c:v>100</c:v>
                </c:pt>
                <c:pt idx="3">
                  <c:v>70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Пользователь Windows</cp:lastModifiedBy>
  <cp:revision>2</cp:revision>
  <dcterms:created xsi:type="dcterms:W3CDTF">2018-12-21T10:48:00Z</dcterms:created>
  <dcterms:modified xsi:type="dcterms:W3CDTF">2018-12-21T10:48:00Z</dcterms:modified>
</cp:coreProperties>
</file>